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F9ABD">
      <w:pPr>
        <w:spacing w:line="620" w:lineRule="exact"/>
        <w:ind w:firstLine="0" w:firstLineChars="0"/>
        <w:jc w:val="center"/>
        <w:rPr>
          <w:rFonts w:ascii="Times New Roman Regular" w:hAnsi="Times New Roman Regular" w:eastAsia="方正小标宋简体" w:cs="Times New Roman Regular"/>
          <w:sz w:val="44"/>
          <w:szCs w:val="44"/>
          <w:u w:val="none" w:color="auto"/>
        </w:rPr>
      </w:pPr>
      <w:r>
        <w:rPr>
          <w:rFonts w:hint="eastAsia" w:ascii="方正小标宋简体" w:hAnsi="方正小标宋简体" w:eastAsia="方正小标宋简体" w:cs="方正小标宋简体"/>
          <w:sz w:val="44"/>
          <w:szCs w:val="44"/>
          <w:u w:val="none" w:color="auto"/>
        </w:rPr>
        <w:t>2025年度科创工作</w:t>
      </w:r>
      <w:r>
        <w:rPr>
          <w:rFonts w:ascii="方正小标宋简体" w:hAnsi="方正小标宋简体" w:eastAsia="方正小标宋简体" w:cs="方正小标宋简体"/>
          <w:sz w:val="44"/>
          <w:u w:val="none" w:color="auto"/>
        </w:rPr>
        <w:t>项目绩效自评报告</w:t>
      </w:r>
    </w:p>
    <w:p w14:paraId="050BBE07">
      <w:pPr>
        <w:pStyle w:val="2"/>
        <w:ind w:firstLine="643"/>
        <w:rPr>
          <w:rFonts w:ascii="黑体" w:hAnsi="黑体" w:eastAsia="黑体" w:cs="黑体"/>
          <w:sz w:val="32"/>
          <w:szCs w:val="32"/>
          <w:u w:val="none" w:color="auto"/>
        </w:rPr>
      </w:pPr>
      <w:r>
        <w:rPr>
          <w:rFonts w:hint="eastAsia" w:ascii="黑体" w:hAnsi="黑体" w:eastAsia="黑体" w:cs="黑体"/>
          <w:sz w:val="32"/>
          <w:szCs w:val="32"/>
          <w:u w:val="none" w:color="auto"/>
        </w:rPr>
        <w:t>一、项目基本情况</w:t>
      </w:r>
    </w:p>
    <w:p w14:paraId="11FA7505">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（一）项目基本情况简介。</w:t>
      </w:r>
    </w:p>
    <w:p w14:paraId="05B23F6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通过开展</w:t>
      </w:r>
      <w:bookmarkStart w:id="2" w:name="_GoBack"/>
      <w:bookmarkEnd w:id="2"/>
      <w:r>
        <w:rPr>
          <w:rFonts w:hint="eastAsia" w:ascii="仿宋" w:hAnsi="仿宋" w:eastAsia="仿宋" w:cs="仿宋"/>
          <w:kern w:val="0"/>
          <w:sz w:val="32"/>
          <w:szCs w:val="32"/>
          <w:u w:val="none" w:color="auto"/>
        </w:rPr>
        <w:t>青少年科普活动、科技辅导员培训以及科普资源维修维护等以期提升科技辅导员专业素养、增强青少年科技创新能力、加强中小学科协试点建设、加强科普资源基础建设、 提高全民科学素质。</w:t>
      </w:r>
    </w:p>
    <w:p w14:paraId="37217F8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（二）绩效目标设定及指标完成情况。</w:t>
      </w:r>
    </w:p>
    <w:p w14:paraId="011F0269">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年度绩效目标：目标1：开展科技类竞赛活动249人； 目标2：增强青少年科技创新能力；目标3：加强中小学科协试点建设； 目标4：加强科普资源基础建设； 目标5： 提高全民科学素质； 目标6：提升科技辅导员专业素养。</w:t>
      </w:r>
    </w:p>
    <w:p w14:paraId="4F004FB0">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年度绩效目标完成情况：各项大赛、培训项目均已完成，达到了增强青少年科技创新能力的目标。</w:t>
      </w:r>
    </w:p>
    <w:p w14:paraId="1585D74B">
      <w:pPr>
        <w:pStyle w:val="2"/>
        <w:ind w:firstLine="643"/>
        <w:rPr>
          <w:rFonts w:ascii="黑体" w:hAnsi="黑体" w:eastAsia="黑体" w:cs="黑体"/>
          <w:sz w:val="32"/>
          <w:szCs w:val="32"/>
          <w:u w:val="none" w:color="auto"/>
        </w:rPr>
      </w:pPr>
      <w:r>
        <w:rPr>
          <w:rFonts w:hint="eastAsia" w:ascii="黑体" w:hAnsi="黑体" w:eastAsia="黑体" w:cs="黑体"/>
          <w:sz w:val="32"/>
          <w:szCs w:val="32"/>
          <w:u w:val="none" w:color="auto"/>
        </w:rPr>
        <w:t>二、绩效自评工作情况</w:t>
      </w:r>
    </w:p>
    <w:p w14:paraId="2C7E51C0">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（一）绩效自评目的。</w:t>
      </w:r>
    </w:p>
    <w:p w14:paraId="3911ECB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为规范和加强财政支出管理，建立科学、规范的财政支出绩效评价管理体系。通过开展部门整体支出绩效评价，促进部门整体预算绩效管理工作水平的提升，强化部门支出责任，规范资金管理行为，提高财政资金使用效益，保障部门更好地履行职责，做到“花钱必问效、无效必问责”，不断提高财政资金管理水平和使用效益，及时总结经验，分析存在问题及原因，切实采取有效措施，为后续财政资金预算安排提供依据，不断提升财政管理科学化水平。</w:t>
      </w:r>
    </w:p>
    <w:p w14:paraId="08529DF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（二）项目资金投入情况。</w:t>
      </w:r>
    </w:p>
    <w:p w14:paraId="03DFBA5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本项目资金年初预算数9.95万元，其中：财政拨款9.95万元，其他资金0万元。</w:t>
      </w:r>
    </w:p>
    <w:p w14:paraId="01A4C14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本项目资金年度调整金额0万元，其中：财政拨款0万元，其他资金0万元。</w:t>
      </w:r>
    </w:p>
    <w:p w14:paraId="135CC85D">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本项目资金变动后预算数9.95万元，其中：财政拨款9.95万元，其他资金0万元。</w:t>
      </w:r>
    </w:p>
    <w:p w14:paraId="085AAFA6">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本项目资金全年执行数9.95万元、执行率为100%，其中：财政拨款9.95万元，其他资金0万元。</w:t>
      </w:r>
    </w:p>
    <w:p w14:paraId="36CBE7C1">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（三）项目资金产出情况。</w:t>
      </w:r>
    </w:p>
    <w:p w14:paraId="3DE675D9">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本年度科创工作项目资金年初预算共9.95万元，大部分资金用于“青少年科技创新培训大赛”、“青少年机器人培训竞赛”， 科创工作项目资金主要用于培训费、专用材料费、劳务费、委托业务费等费用，各类资金支出准确无误，有完整的审批手续，本项目资金不存在超范围超标准支出、挤占挪用等违法违规问题。</w:t>
      </w:r>
    </w:p>
    <w:p w14:paraId="275D1307">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（四）项目资金管理情况。</w:t>
      </w:r>
    </w:p>
    <w:p w14:paraId="4AC75452">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度科创中心工作项目及培训均已完成。项目资金使用过程中严格遵守国家、自治区、相关政策与管理办法，严格按照市科协内部控制制度、财务管理制度实施项目，各类资金支出准确无误。项目的实际支出与项目规定的用途一致，有完整的审批手续，各项目资金不存在超范围超标准支出、挤占挪用等违法违规问题，资金管理状况良好。</w:t>
      </w:r>
    </w:p>
    <w:p w14:paraId="5C40FC4F">
      <w:pPr>
        <w:pStyle w:val="2"/>
        <w:ind w:firstLine="643"/>
        <w:rPr>
          <w:rFonts w:ascii="黑体" w:hAnsi="黑体" w:eastAsia="黑体" w:cs="黑体"/>
          <w:sz w:val="32"/>
          <w:szCs w:val="32"/>
          <w:u w:val="none" w:color="auto"/>
        </w:rPr>
      </w:pPr>
      <w:r>
        <w:rPr>
          <w:rFonts w:hint="eastAsia" w:ascii="黑体" w:hAnsi="黑体" w:eastAsia="黑体" w:cs="黑体"/>
          <w:sz w:val="32"/>
          <w:szCs w:val="32"/>
          <w:u w:val="none" w:color="auto"/>
        </w:rPr>
        <w:t>三、项目绩效情况</w:t>
      </w:r>
    </w:p>
    <w:p w14:paraId="2A1752A7">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1.产出指标完成情况</w:t>
      </w:r>
    </w:p>
    <w:p w14:paraId="5141A74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（1）数量指标</w:t>
      </w:r>
    </w:p>
    <w:p w14:paraId="435522AB">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1）青少年科技创新培训大赛参赛人数(人)，目标值125，完成值125，分值8，得分8。</w:t>
      </w:r>
    </w:p>
    <w:p w14:paraId="565FC2E6">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2）青少年机器人培训竞赛参赛人数(人)，目标值62，完成值62，分值7，得分7。</w:t>
      </w:r>
    </w:p>
    <w:p w14:paraId="56BBBBF6">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（2）质量指标</w:t>
      </w:r>
    </w:p>
    <w:p w14:paraId="33FB885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1）青少年科技创新培训大赛合格率(%)，目标值95，完成值95，分值8，得分8。</w:t>
      </w:r>
    </w:p>
    <w:p w14:paraId="7F2A886A">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2）青少年机器人培训竞赛合格率(%)，目标值95，完成值95，分值7，得分7。</w:t>
      </w:r>
    </w:p>
    <w:p w14:paraId="1EFD9C8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（3）时效指标</w:t>
      </w:r>
    </w:p>
    <w:p w14:paraId="4266D847">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1）青少年科技创新培训大赛时间(个月)，目标值12，完成值12，分值5，得分5。</w:t>
      </w:r>
    </w:p>
    <w:p w14:paraId="53D035E1">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2）青少年机器人培训竞赛时间(个月)，目标值12，完成值12，分值5，得分5。</w:t>
      </w:r>
    </w:p>
    <w:p w14:paraId="7B3F2441">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（4）成本指标</w:t>
      </w:r>
    </w:p>
    <w:p w14:paraId="42C4408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1）青少年科技创新培训大赛(元/人/天)，目标值400，完成值400，分值5，得分5。</w:t>
      </w:r>
    </w:p>
    <w:p w14:paraId="3BD75611">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2）青少年机器人培训竞赛(元/人/天)，目标值400，完成值400，分值5，得分5。</w:t>
      </w:r>
    </w:p>
    <w:p w14:paraId="7D1AF18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2.效益指标完成情况</w:t>
      </w:r>
    </w:p>
    <w:p w14:paraId="6FA6DBA0">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（5）社会效益指标</w:t>
      </w:r>
    </w:p>
    <w:p w14:paraId="6985E560">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1）提升辅导员中小学生创新能力和科学素养，目标值有效提升，完成值有效提升，分值15，得分12。</w:t>
      </w:r>
    </w:p>
    <w:p w14:paraId="63919C2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（6）可持续影响指标</w:t>
      </w:r>
    </w:p>
    <w:p w14:paraId="4B138D3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1）提高中小学生科技素养，目标值长期，完成值长期，分值15，得分12。</w:t>
      </w:r>
    </w:p>
    <w:p w14:paraId="0C58F91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3.满意度指标完成情况</w:t>
      </w:r>
    </w:p>
    <w:p w14:paraId="612E42AC">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（7）服务对象满意度指标</w:t>
      </w:r>
    </w:p>
    <w:p w14:paraId="5DC546E6">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1）中小学生满意度(%)，目标值95，完成值95，分值10，得分7。</w:t>
      </w:r>
    </w:p>
    <w:p w14:paraId="5AFA866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4. 自评得分情况</w:t>
      </w:r>
    </w:p>
    <w:p w14:paraId="627254F7">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本项目绩效自评得分91分，自评等级</w:t>
      </w:r>
      <w:r>
        <w:rPr>
          <w:rFonts w:hint="eastAsia" w:ascii="仿宋" w:hAnsi="仿宋" w:eastAsia="仿宋" w:cs="仿宋"/>
          <w:kern w:val="0"/>
          <w:sz w:val="32"/>
          <w:szCs w:val="32"/>
          <w:u w:val="none" w:color="auto"/>
          <w:lang w:val="en-US" w:eastAsia="zh-CN"/>
        </w:rPr>
        <w:t>优</w:t>
      </w:r>
      <w:r>
        <w:rPr>
          <w:rFonts w:hint="eastAsia" w:ascii="仿宋" w:hAnsi="仿宋" w:eastAsia="仿宋" w:cs="仿宋"/>
          <w:kern w:val="0"/>
          <w:sz w:val="32"/>
          <w:szCs w:val="32"/>
          <w:u w:val="none" w:color="auto"/>
        </w:rPr>
        <w:t>。</w:t>
      </w:r>
    </w:p>
    <w:p w14:paraId="16D48C2B">
      <w:pPr>
        <w:pStyle w:val="2"/>
        <w:numPr>
          <w:ilvl w:val="0"/>
          <w:numId w:val="1"/>
        </w:numPr>
        <w:ind w:firstLine="643"/>
        <w:rPr>
          <w:u w:val="none" w:color="auto"/>
        </w:rPr>
      </w:pPr>
      <w:r>
        <w:rPr>
          <w:rFonts w:hint="eastAsia"/>
          <w:sz w:val="32"/>
          <w:szCs w:val="32"/>
          <w:u w:val="none" w:color="auto"/>
        </w:rPr>
        <w:t>偏离绩效目标的原因和下一步改进措施</w:t>
      </w:r>
    </w:p>
    <w:p w14:paraId="47826B4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（一）</w:t>
      </w:r>
      <w:bookmarkStart w:id="0" w:name="OLE_LINK4"/>
      <w:bookmarkStart w:id="1" w:name="OLE_LINK3"/>
      <w:r>
        <w:rPr>
          <w:rFonts w:hint="eastAsia" w:ascii="楷体" w:hAnsi="楷体" w:eastAsia="楷体" w:cs="楷体"/>
          <w:kern w:val="0"/>
          <w:sz w:val="32"/>
          <w:szCs w:val="32"/>
          <w:u w:val="none" w:color="auto"/>
        </w:rPr>
        <w:t>项目立项、实施存在问题</w:t>
      </w:r>
      <w:bookmarkEnd w:id="0"/>
      <w:bookmarkEnd w:id="1"/>
      <w:r>
        <w:rPr>
          <w:rFonts w:hint="eastAsia" w:ascii="楷体" w:hAnsi="楷体" w:eastAsia="楷体" w:cs="楷体"/>
          <w:kern w:val="0"/>
          <w:sz w:val="32"/>
          <w:szCs w:val="32"/>
          <w:u w:val="none" w:color="auto"/>
        </w:rPr>
        <w:t>。</w:t>
      </w:r>
    </w:p>
    <w:p w14:paraId="744E9E06">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根据年度工作安排，在时间上规划不足。</w:t>
      </w:r>
    </w:p>
    <w:p w14:paraId="750033B4">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（二）资金管理使用存在问题</w:t>
      </w:r>
    </w:p>
    <w:p w14:paraId="41F38CAA">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严格按照绩效目标执行，资金专款专用，不存在资金管理使用问题。</w:t>
      </w:r>
    </w:p>
    <w:p w14:paraId="3D9F100A">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kern w:val="0"/>
          <w:sz w:val="32"/>
          <w:szCs w:val="32"/>
          <w:u w:val="none" w:color="auto"/>
        </w:rPr>
      </w:pPr>
      <w:r>
        <w:rPr>
          <w:rFonts w:hint="eastAsia" w:ascii="楷体" w:hAnsi="楷体" w:eastAsia="楷体" w:cs="楷体"/>
          <w:kern w:val="0"/>
          <w:sz w:val="32"/>
          <w:szCs w:val="32"/>
          <w:u w:val="none" w:color="auto"/>
        </w:rPr>
        <w:t>（三）措施及办法</w:t>
      </w:r>
    </w:p>
    <w:p w14:paraId="5ABD1742">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一是提前谋划，确保批复的及时性。通过预算管理一体化系统，及时下达部门预算资金指标，尽早发挥资金使用效益。</w:t>
      </w:r>
    </w:p>
    <w:p w14:paraId="380CF35D">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二是强化管理，保障工作提前规划。根据年度工作安排，尽早确定项目的目标任务，增强工作的计划性、前瞻性，对预算编制做到早谋划、早部署。</w:t>
      </w:r>
    </w:p>
    <w:p w14:paraId="613708B3">
      <w:pPr>
        <w:pStyle w:val="2"/>
        <w:numPr>
          <w:ilvl w:val="0"/>
          <w:numId w:val="1"/>
        </w:numPr>
        <w:ind w:firstLine="643"/>
        <w:rPr>
          <w:sz w:val="32"/>
          <w:szCs w:val="32"/>
          <w:u w:val="none" w:color="auto"/>
        </w:rPr>
      </w:pPr>
      <w:r>
        <w:rPr>
          <w:rFonts w:hint="eastAsia"/>
          <w:sz w:val="32"/>
          <w:szCs w:val="32"/>
          <w:u w:val="none" w:color="auto"/>
        </w:rPr>
        <w:t>绩效自评结果拟应用和公开情况</w:t>
      </w:r>
    </w:p>
    <w:p w14:paraId="04F8EA5A">
      <w:pPr>
        <w:topLinePunct/>
        <w:spacing w:line="580" w:lineRule="exact"/>
        <w:ind w:firstLine="640"/>
        <w:rPr>
          <w:rFonts w:hint="eastAsia" w:ascii="仿宋" w:hAnsi="仿宋" w:eastAsia="仿宋" w:cs="仿宋"/>
          <w:kern w:val="0"/>
          <w:sz w:val="32"/>
          <w:szCs w:val="32"/>
          <w:u w:val="none" w:color="auto"/>
          <w:lang w:val="en-US" w:eastAsia="zh-CN" w:bidi="ar-SA"/>
        </w:rPr>
      </w:pPr>
      <w:r>
        <w:rPr>
          <w:rFonts w:hint="eastAsia" w:ascii="仿宋" w:hAnsi="仿宋" w:eastAsia="仿宋" w:cs="仿宋"/>
          <w:kern w:val="0"/>
          <w:sz w:val="32"/>
          <w:szCs w:val="32"/>
          <w:u w:val="none" w:color="auto"/>
          <w:lang w:val="en-US" w:eastAsia="zh-CN" w:bidi="ar-SA"/>
        </w:rPr>
        <w:t>无</w:t>
      </w:r>
    </w:p>
    <w:p w14:paraId="36ADEEEC">
      <w:pPr>
        <w:pStyle w:val="2"/>
        <w:ind w:firstLine="643"/>
        <w:rPr>
          <w:u w:val="none" w:color="auto"/>
        </w:rPr>
      </w:pPr>
      <w:r>
        <w:rPr>
          <w:rFonts w:hint="eastAsia"/>
          <w:sz w:val="32"/>
          <w:szCs w:val="32"/>
          <w:u w:val="none" w:color="auto"/>
        </w:rPr>
        <w:t>六、其他需要说明的问题</w:t>
      </w:r>
    </w:p>
    <w:p w14:paraId="361A4418">
      <w:pPr>
        <w:topLinePunct/>
        <w:spacing w:line="520" w:lineRule="exact"/>
        <w:ind w:firstLine="640"/>
        <w:rPr>
          <w:rFonts w:ascii="FangSong_GB2312" w:hAnsi="FangSong_GB2312" w:eastAsia="FangSong_GB2312" w:cs="FangSong_GB2312"/>
          <w:kern w:val="0"/>
          <w:sz w:val="32"/>
          <w:szCs w:val="32"/>
          <w:u w:val="none" w:color="auto"/>
        </w:rPr>
      </w:pPr>
      <w:r>
        <w:rPr>
          <w:rFonts w:hint="eastAsia" w:ascii="Times New Roman Regular" w:hAnsi="Times New Roman Regular" w:eastAsia="仿宋" w:cs="Times New Roman Regular"/>
          <w:sz w:val="32"/>
          <w:szCs w:val="32"/>
          <w:u w:val="none" w:color="auto"/>
        </w:rPr>
        <w:t>无</w:t>
      </w:r>
    </w:p>
    <w:p w14:paraId="43551B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1135B2-FE60-4520-A28F-8019456F14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B8F603F-0D22-44F7-B93F-3F0FB7B01A24}"/>
  </w:font>
  <w:font w:name="Times New Roman Regular">
    <w:altName w:val="Times New Roman"/>
    <w:panose1 w:val="02020503050405090304"/>
    <w:charset w:val="00"/>
    <w:family w:val="auto"/>
    <w:pitch w:val="default"/>
    <w:sig w:usb0="00000000" w:usb1="00000000" w:usb2="00000001" w:usb3="00000000" w:csb0="400001BF" w:csb1="DFF70000"/>
    <w:embedRegular r:id="rId3" w:fontKey="{46B64EBA-BA96-4FB3-B544-B3AB6FB525D2}"/>
  </w:font>
  <w:font w:name="方正小标宋简体">
    <w:panose1 w:val="02010600010101010101"/>
    <w:charset w:val="86"/>
    <w:family w:val="auto"/>
    <w:pitch w:val="default"/>
    <w:sig w:usb0="00000001" w:usb1="080E0000" w:usb2="00000000" w:usb3="00000000" w:csb0="00040000" w:csb1="00000000"/>
    <w:embedRegular r:id="rId4" w:fontKey="{2474FDB9-23B7-4179-9894-7BE83F303ECB}"/>
  </w:font>
  <w:font w:name="楷体">
    <w:panose1 w:val="02010609060101010101"/>
    <w:charset w:val="86"/>
    <w:family w:val="auto"/>
    <w:pitch w:val="default"/>
    <w:sig w:usb0="800002BF" w:usb1="38CF7CFA" w:usb2="00000016" w:usb3="00000000" w:csb0="00040001" w:csb1="00000000"/>
    <w:embedRegular r:id="rId5" w:fontKey="{CBDE45C2-6709-4D23-B8D7-8D830A2283D8}"/>
  </w:font>
  <w:font w:name="仿宋">
    <w:panose1 w:val="02010609060101010101"/>
    <w:charset w:val="86"/>
    <w:family w:val="modern"/>
    <w:pitch w:val="default"/>
    <w:sig w:usb0="800002BF" w:usb1="38CF7CFA" w:usb2="00000016" w:usb3="00000000" w:csb0="00040001" w:csb1="00000000"/>
    <w:embedRegular r:id="rId6" w:fontKey="{1E312F97-6AB1-4B93-9387-EB49AC7A78F6}"/>
  </w:font>
  <w:font w:name="FangSong_GB2312">
    <w:altName w:val="仿宋"/>
    <w:panose1 w:val="00000000000000000000"/>
    <w:charset w:val="00"/>
    <w:family w:val="auto"/>
    <w:pitch w:val="default"/>
    <w:sig w:usb0="00000000" w:usb1="00000000" w:usb2="00000000" w:usb3="00000000" w:csb0="00000000" w:csb1="00000000"/>
    <w:embedRegular r:id="rId7" w:fontKey="{86FB2986-3233-4F7E-8CBE-B66AD187502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F644"/>
    <w:multiLevelType w:val="singleLevel"/>
    <w:tmpl w:val="5FFEF644"/>
    <w:lvl w:ilvl="0" w:tentative="0">
      <w:start w:val="4"/>
      <w:numFmt w:val="chineseCounting"/>
      <w:suff w:val="nothing"/>
      <w:lvlText w:val="%1、"/>
      <w:lvlJc w:val="left"/>
      <w:rPr>
        <w:rFonts w:hint="eastAsia"/>
        <w:sz w:val="30"/>
        <w:szCs w:val="3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F03F09"/>
    <w:rsid w:val="1CF03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MsoNormal"/>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2026-08-14T02:05:00Z</dcterms:created>
  <dc:creator>刘欣</dc:creator>
  <cp:lastModifiedBy>刘欣</cp:lastModifiedBy>
  <dcterms:modified xsi:type="dcterms:W3CDTF">2026-08-14T02:08:38Z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11383D7D224D456F8E64F4A080CC7031_11</vt:lpwstr>
  </property>
  <property fmtid="{D5CDD505-2E9C-101B-9397-08002B2CF9AE}" pid="4" name="KSOTemplateDocerSaveRecord">
    <vt:lpwstr>eyJoZGlkIjoiMmQzMmY4ODY5MWE3MThmNzFkYTIxNGM3OTZkMmJhMTciLCJ1c2VySWQiOiI0OTEyNjMzMzAifQ==</vt:lpwstr>
  </property>
</Properties>
</file>