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Hans" w:bidi="ar"/>
        </w:rPr>
        <w:t>项目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  <w:t>绩效自评报告</w:t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（</w:t>
      </w:r>
      <w:r>
        <w:rPr>
          <w:rFonts w:hint="eastAsia" w:ascii="方正小标宋简体" w:eastAsia="方正小标宋简体"/>
          <w:sz w:val="44"/>
          <w:szCs w:val="44"/>
        </w:rPr>
        <w:t>2023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年度）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firstLine="1606" w:firstLineChars="500"/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项目名称：</w:t>
      </w:r>
      <w:r>
        <w:rPr>
          <w:rFonts w:ascii="仿宋" w:hAnsi="仿宋" w:eastAsia="仿宋" w:cs="仿宋"/>
          <w:b/>
          <w:sz w:val="32"/>
        </w:rPr>
        <w:t>宣传调研工作</w:t>
      </w:r>
    </w:p>
    <w:p>
      <w:pPr>
        <w:ind w:firstLine="1606" w:firstLineChars="500"/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主管部门：</w:t>
      </w:r>
      <w:r>
        <w:rPr>
          <w:rFonts w:ascii="仿宋" w:hAnsi="仿宋" w:eastAsia="仿宋" w:cs="仿宋"/>
          <w:b/>
          <w:sz w:val="32"/>
        </w:rPr>
        <w:t>赤峰市科学技术协会（部门）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spacing w:line="620" w:lineRule="exact"/>
        <w:ind w:firstLine="88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20" w:lineRule="exact"/>
        <w:ind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</w:t>
      </w:r>
      <w:r>
        <w:rPr>
          <w:rFonts w:ascii="方正小标宋简体" w:hAnsi="方正小标宋简体" w:eastAsia="方正小标宋简体" w:cs="方正小标宋简体"/>
          <w:sz w:val="44"/>
        </w:rPr>
        <w:t>年宣传调研工作项目绩效自评报告</w:t>
      </w:r>
    </w:p>
    <w:p>
      <w:pPr>
        <w:numPr>
          <w:ilvl w:val="0"/>
          <w:numId w:val="1"/>
        </w:numPr>
        <w:spacing w:line="240" w:lineRule="auto"/>
        <w:ind w:left="0" w:firstLine="0" w:firstLineChars="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项目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基本</w:t>
      </w:r>
      <w:r>
        <w:rPr>
          <w:rFonts w:hint="eastAsia" w:ascii="仿宋" w:hAnsi="仿宋" w:eastAsia="仿宋"/>
          <w:b/>
          <w:sz w:val="32"/>
          <w:szCs w:val="32"/>
        </w:rPr>
        <w:t>情况</w:t>
      </w:r>
    </w:p>
    <w:p>
      <w:pPr>
        <w:spacing w:before="188" w:line="204" w:lineRule="auto"/>
        <w:ind w:firstLine="577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 w:cs="仿宋"/>
          <w:spacing w:val="3"/>
          <w:sz w:val="30"/>
          <w:szCs w:val="30"/>
        </w:rPr>
        <w:t>（一）项目基本情况简介。</w:t>
      </w:r>
    </w:p>
    <w:p>
      <w:pPr>
        <w:numPr>
          <w:ilvl w:val="0"/>
          <w:numId w:val="0"/>
        </w:numPr>
        <w:spacing w:before="188" w:line="204" w:lineRule="auto"/>
        <w:ind w:firstLine="632" w:firstLineChars="200"/>
        <w:rPr>
          <w:rFonts w:hint="eastAsia" w:ascii="仿宋" w:hAnsi="仿宋" w:eastAsia="仿宋" w:cs="仿宋"/>
          <w:color w:val="auto"/>
          <w:spacing w:val="8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sz w:val="30"/>
          <w:szCs w:val="30"/>
          <w:lang w:val="en-US" w:eastAsia="zh-CN"/>
        </w:rPr>
        <w:t>巩固扩展广播、电视、网络、微信平台、移动客户端APP“五位一体”的宣传体系，继续与主流媒体平台合作，打造科协宣传平台，不断提升科协工作的影响力。</w:t>
      </w:r>
    </w:p>
    <w:p>
      <w:pPr>
        <w:numPr>
          <w:ilvl w:val="0"/>
          <w:numId w:val="2"/>
        </w:numPr>
        <w:spacing w:before="188" w:line="204" w:lineRule="auto"/>
        <w:ind w:firstLine="577"/>
        <w:rPr>
          <w:rFonts w:ascii="仿宋" w:hAnsi="仿宋" w:eastAsia="仿宋" w:cs="仿宋"/>
          <w:spacing w:val="8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绩效目标设定及</w:t>
      </w:r>
      <w:r>
        <w:rPr>
          <w:rFonts w:hint="eastAsia" w:ascii="仿宋" w:hAnsi="仿宋" w:eastAsia="仿宋" w:cs="仿宋"/>
          <w:spacing w:val="8"/>
          <w:sz w:val="30"/>
          <w:szCs w:val="30"/>
          <w:lang w:val="en-US" w:eastAsia="zh-CN"/>
        </w:rPr>
        <w:t>指标</w:t>
      </w:r>
      <w:r>
        <w:rPr>
          <w:rFonts w:ascii="仿宋" w:hAnsi="仿宋" w:eastAsia="仿宋" w:cs="仿宋"/>
          <w:spacing w:val="8"/>
          <w:sz w:val="30"/>
          <w:szCs w:val="30"/>
        </w:rPr>
        <w:t>完成情况。</w:t>
      </w:r>
    </w:p>
    <w:p>
      <w:pPr>
        <w:numPr>
          <w:ilvl w:val="0"/>
          <w:numId w:val="0"/>
        </w:numPr>
        <w:spacing w:before="188" w:line="204" w:lineRule="auto"/>
        <w:ind w:firstLine="632" w:firstLineChars="200"/>
        <w:rPr>
          <w:rFonts w:hint="eastAsia" w:ascii="仿宋" w:hAnsi="仿宋" w:eastAsia="仿宋" w:cs="仿宋"/>
          <w:color w:val="auto"/>
          <w:spacing w:val="8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8"/>
          <w:sz w:val="30"/>
          <w:szCs w:val="30"/>
          <w:lang w:val="en-US" w:eastAsia="zh-CN"/>
        </w:rPr>
        <w:t>预期目标：</w:t>
      </w:r>
      <w:r>
        <w:rPr>
          <w:rFonts w:ascii="仿宋" w:hAnsi="仿宋" w:eastAsia="仿宋" w:cs="仿宋"/>
          <w:color w:val="auto"/>
          <w:spacing w:val="8"/>
          <w:sz w:val="30"/>
        </w:rPr>
        <w:t>巩固扩展广播、电视、网络、微信平台、移动客户端APP“五位一体”的宣传体系，继续与主流媒体平台合作，打造科协宣传平台，不断提升科协工作的影响力。</w:t>
      </w:r>
    </w:p>
    <w:p>
      <w:pPr>
        <w:numPr>
          <w:ilvl w:val="0"/>
          <w:numId w:val="0"/>
        </w:numPr>
        <w:spacing w:before="188" w:line="204" w:lineRule="auto"/>
        <w:ind w:firstLine="632" w:firstLineChars="200"/>
        <w:rPr>
          <w:rFonts w:hint="eastAsia" w:ascii="仿宋"/>
          <w:sz w:val="32"/>
        </w:rPr>
      </w:pPr>
      <w:r>
        <w:rPr>
          <w:rFonts w:hint="eastAsia" w:ascii="仿宋" w:hAnsi="仿宋" w:eastAsia="仿宋" w:cs="仿宋"/>
          <w:color w:val="auto"/>
          <w:spacing w:val="8"/>
          <w:sz w:val="30"/>
          <w:szCs w:val="30"/>
          <w:lang w:val="en-US" w:eastAsia="zh-CN"/>
        </w:rPr>
        <w:t>绩效目标实际完成情况：</w:t>
      </w:r>
      <w:r>
        <w:rPr>
          <w:rFonts w:ascii="仿宋" w:hAnsi="仿宋" w:eastAsia="仿宋" w:cs="仿宋"/>
          <w:color w:val="auto"/>
          <w:spacing w:val="8"/>
          <w:sz w:val="30"/>
        </w:rPr>
        <w:t>根据年度项目绩效目标，加大对科协重点工作宣传、推介力度，协调市属主要媒体做好对市科协各项重点工作宣传。持续加强与主流媒体合作，开办“科普视界”“科学加油站”“科学魔方”等广播、电视、纸媒科普栏目，统筹工作宣传和科普宣传，增强宣传效果，助力提升我市公民科学素质，提升科协组织的社会影响力。</w:t>
      </w:r>
    </w:p>
    <w:p>
      <w:pPr>
        <w:numPr>
          <w:ilvl w:val="0"/>
          <w:numId w:val="1"/>
        </w:numPr>
        <w:spacing w:line="240" w:lineRule="auto"/>
        <w:ind w:left="0" w:firstLine="0"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绩效自评工作</w:t>
      </w:r>
      <w:r>
        <w:rPr>
          <w:rFonts w:hint="eastAsia" w:ascii="仿宋" w:hAnsi="仿宋" w:eastAsia="仿宋"/>
          <w:b/>
          <w:sz w:val="32"/>
          <w:szCs w:val="32"/>
        </w:rPr>
        <w:t>情况</w:t>
      </w:r>
    </w:p>
    <w:p>
      <w:pPr>
        <w:numPr>
          <w:ilvl w:val="0"/>
          <w:numId w:val="3"/>
        </w:numPr>
        <w:spacing w:before="188" w:line="204" w:lineRule="auto"/>
        <w:ind w:firstLine="577"/>
        <w:rPr>
          <w:rFonts w:ascii="仿宋" w:hAnsi="仿宋" w:eastAsia="仿宋" w:cs="仿宋"/>
          <w:spacing w:val="1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绩效自评目的。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spacing w:val="1"/>
          <w:sz w:val="30"/>
          <w:szCs w:val="30"/>
        </w:rPr>
      </w:pPr>
      <w:r>
        <w:rPr>
          <w:rFonts w:hint="default" w:ascii="仿宋" w:hAnsi="仿宋" w:eastAsia="仿宋" w:cs="仿宋"/>
          <w:spacing w:val="1"/>
          <w:sz w:val="30"/>
          <w:szCs w:val="30"/>
        </w:rPr>
        <w:t>为规范和加强宣传调研工作项目财政支出管理，强化项目支出责任，建立科学、规范的财政支出绩效评价管理体系，提高财政资金使用效益，及时发现自身存在的问题，提出有效的解决方案，采取有利的措施，确保项目顺利实施及时发挥效益，我单位对宣传调研部工作项目开展2023年度绩效自评工作，对资金产出及其效益进行综合评价和判断。</w:t>
      </w:r>
    </w:p>
    <w:p>
      <w:pPr>
        <w:numPr>
          <w:ilvl w:val="0"/>
          <w:numId w:val="3"/>
        </w:numPr>
        <w:spacing w:before="189" w:line="204" w:lineRule="auto"/>
        <w:ind w:left="0" w:leftChars="0" w:firstLine="616" w:firstLineChars="200"/>
        <w:rPr>
          <w:rFonts w:ascii="仿宋" w:hAnsi="仿宋" w:eastAsia="仿宋" w:cs="仿宋"/>
          <w:spacing w:val="4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项目资金投入情况。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12" w:lineRule="auto"/>
        <w:textAlignment w:val="baseline"/>
        <w:rPr>
          <w:rFonts w:hint="eastAsia" w:ascii="仿宋" w:hAnsi="仿宋" w:eastAsia="仿宋" w:cs="仿宋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4"/>
          <w:sz w:val="30"/>
          <w:szCs w:val="30"/>
          <w:lang w:val="en-US" w:eastAsia="zh-CN"/>
        </w:rPr>
        <w:t>本年度资金年初预算数</w:t>
      </w:r>
      <w:r>
        <w:rPr>
          <w:rFonts w:ascii="仿宋" w:hAnsi="仿宋" w:eastAsia="仿宋" w:cs="仿宋"/>
          <w:color w:val="auto"/>
          <w:spacing w:val="4"/>
          <w:sz w:val="30"/>
        </w:rPr>
        <w:t>30.00万元，其中：财政拨款30.00万元，其他资金0.00万元。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12" w:lineRule="auto"/>
        <w:textAlignment w:val="baseline"/>
        <w:rPr>
          <w:rFonts w:hint="default" w:ascii="仿宋" w:hAnsi="仿宋" w:eastAsia="仿宋" w:cs="仿宋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4"/>
          <w:sz w:val="30"/>
          <w:szCs w:val="30"/>
          <w:lang w:val="en-US" w:eastAsia="zh-CN"/>
        </w:rPr>
        <w:t>本年度资金全年预算数</w:t>
      </w:r>
      <w:r>
        <w:rPr>
          <w:rFonts w:ascii="仿宋" w:hAnsi="仿宋" w:eastAsia="仿宋" w:cs="仿宋"/>
          <w:color w:val="auto"/>
          <w:spacing w:val="4"/>
          <w:sz w:val="30"/>
        </w:rPr>
        <w:t>30.00万元，其中：财政拨款30.00万元，其他资金0.00万元。</w:t>
      </w:r>
    </w:p>
    <w:p>
      <w:pPr>
        <w:numPr>
          <w:ilvl w:val="0"/>
          <w:numId w:val="0"/>
        </w:numPr>
        <w:spacing w:before="189" w:line="204" w:lineRule="auto"/>
        <w:ind w:firstLine="616" w:firstLineChars="200"/>
        <w:rPr>
          <w:rFonts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pacing w:val="4"/>
          <w:sz w:val="30"/>
          <w:szCs w:val="30"/>
          <w:lang w:val="en-US" w:eastAsia="zh-CN"/>
        </w:rPr>
        <w:t>本年度资金全年执行数</w:t>
      </w:r>
      <w:r>
        <w:rPr>
          <w:rFonts w:ascii="仿宋" w:hAnsi="仿宋" w:eastAsia="仿宋" w:cs="仿宋"/>
          <w:color w:val="auto"/>
          <w:spacing w:val="4"/>
          <w:sz w:val="30"/>
        </w:rPr>
        <w:t>27.58万元，其中：财政拨款27.58万元，其他资金0.00万元。</w:t>
      </w:r>
    </w:p>
    <w:p>
      <w:pPr>
        <w:numPr>
          <w:ilvl w:val="0"/>
          <w:numId w:val="3"/>
        </w:numPr>
        <w:spacing w:before="188" w:line="204" w:lineRule="auto"/>
        <w:ind w:left="0" w:leftChars="0" w:firstLine="616" w:firstLineChars="200"/>
        <w:rPr>
          <w:rFonts w:ascii="仿宋" w:hAnsi="仿宋" w:eastAsia="仿宋" w:cs="仿宋"/>
          <w:spacing w:val="4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项目资金产出情况。</w:t>
      </w: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spacing w:val="4"/>
          <w:sz w:val="30"/>
          <w:szCs w:val="30"/>
        </w:rPr>
      </w:pPr>
      <w:r>
        <w:rPr>
          <w:rFonts w:hint="default" w:ascii="仿宋" w:hAnsi="仿宋" w:eastAsia="仿宋" w:cs="仿宋"/>
          <w:spacing w:val="1"/>
          <w:sz w:val="30"/>
          <w:szCs w:val="30"/>
        </w:rPr>
        <w:t>本年度资金年初预算数30.00万元，其中：财政拨款30.00万元，其他资金0.00万元，到位资金27.58万元，本年共计支出27.58万元，，预算执行率达91.93%。资金主要用于赤峰市科学技术协会网站维护、科普工作宣传、科技工作者宣传、差旅交通等，各类资金支出准确无误，有完整审批手续，不存在超范围超标准支出、挤占挪用等违法违规问题。</w:t>
      </w:r>
    </w:p>
    <w:p>
      <w:pPr>
        <w:numPr>
          <w:ilvl w:val="0"/>
          <w:numId w:val="3"/>
        </w:numPr>
        <w:spacing w:before="189" w:line="204" w:lineRule="auto"/>
        <w:ind w:left="0" w:leftChars="0" w:firstLine="608" w:firstLineChars="200"/>
        <w:rPr>
          <w:rFonts w:ascii="仿宋" w:hAnsi="仿宋" w:eastAsia="仿宋" w:cs="仿宋"/>
          <w:spacing w:val="2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项目资金管理情况。</w:t>
      </w: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spacing w:val="2"/>
          <w:sz w:val="30"/>
          <w:szCs w:val="30"/>
        </w:rPr>
      </w:pPr>
      <w:r>
        <w:rPr>
          <w:rFonts w:hint="default" w:ascii="仿宋" w:hAnsi="仿宋" w:eastAsia="仿宋" w:cs="仿宋"/>
          <w:spacing w:val="1"/>
          <w:sz w:val="30"/>
          <w:szCs w:val="30"/>
        </w:rPr>
        <w:t>宣传调研工作项目预期目标已完成网站维护、科技工作者宣传、科普栏目投放、宣传片制作。整个项目在资金的使用过程中严格遵守国家、自治区、相关政策与管理办法，严格按照市科协内部控制制度、财务管理制度实施项目。实际支出与项目规定的用途一致，不存在不存在超范围超标准支出、挤占挪用等违法违规问题，资金管理状况良好。</w:t>
      </w:r>
    </w:p>
    <w:p>
      <w:pPr>
        <w:numPr>
          <w:ilvl w:val="0"/>
          <w:numId w:val="1"/>
        </w:numPr>
        <w:spacing w:line="240" w:lineRule="auto"/>
        <w:ind w:left="0" w:firstLine="0"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项目绩效情况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(一) 产出指标完成情况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1、数量指标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1)宣传科技工作者，目标值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10</w:t>
      </w:r>
      <w:r>
        <w:rPr>
          <w:rFonts w:ascii="仿宋" w:hAnsi="仿宋" w:eastAsia="仿宋" w:cs="仿宋"/>
          <w:sz w:val="32"/>
        </w:rPr>
        <w:t>人，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12人，分值3，得分3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2)宣传片制作，目标值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 w:cs="仿宋"/>
          <w:sz w:val="32"/>
        </w:rPr>
        <w:t>个，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1个，分值3，得分3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3)纸媒科普专栏期数，目标值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52</w:t>
      </w:r>
      <w:r>
        <w:rPr>
          <w:rFonts w:ascii="仿宋" w:hAnsi="仿宋" w:eastAsia="仿宋" w:cs="仿宋"/>
          <w:sz w:val="32"/>
        </w:rPr>
        <w:t>期，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52期，分值3，得分3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4)广播栏目投放期数，目标值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240</w:t>
      </w:r>
      <w:r>
        <w:rPr>
          <w:rFonts w:ascii="仿宋" w:hAnsi="仿宋" w:eastAsia="仿宋" w:cs="仿宋"/>
          <w:sz w:val="32"/>
        </w:rPr>
        <w:t>期，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240期，分值3，得分3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5)电视节目播放时间，目标值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312</w:t>
      </w:r>
      <w:r>
        <w:rPr>
          <w:rFonts w:ascii="仿宋" w:hAnsi="仿宋" w:eastAsia="仿宋" w:cs="仿宋"/>
          <w:sz w:val="32"/>
        </w:rPr>
        <w:t>期，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312期，分值3，得分3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2、质量指标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6)科普受众，目标值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 w:cs="仿宋"/>
          <w:sz w:val="32"/>
        </w:rPr>
        <w:t>万人，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20万人，分值7，得分7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7)科普区域覆盖率，目标值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85</w:t>
      </w:r>
      <w:r>
        <w:rPr>
          <w:rFonts w:ascii="仿宋" w:hAnsi="仿宋" w:eastAsia="仿宋" w:cs="仿宋"/>
          <w:sz w:val="32"/>
        </w:rPr>
        <w:t>%，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85%，分值8，得分8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3、时效指标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8)网站维护，目标值</w:t>
      </w:r>
      <w:r>
        <w:rPr>
          <w:rFonts w:hint="eastAsia" w:ascii="仿宋" w:hAnsi="仿宋" w:eastAsia="仿宋"/>
          <w:sz w:val="32"/>
          <w:szCs w:val="32"/>
        </w:rPr>
        <w:t>2022年01月-2022年12月</w:t>
      </w:r>
      <w:r>
        <w:rPr>
          <w:rFonts w:ascii="仿宋" w:hAnsi="仿宋" w:eastAsia="仿宋" w:cs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2023年01月-2023年12月，分值5，得分5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9)科普栏目投放时间，目标值</w:t>
      </w:r>
      <w:r>
        <w:rPr>
          <w:rFonts w:hint="eastAsia" w:ascii="仿宋" w:hAnsi="仿宋" w:eastAsia="仿宋"/>
          <w:sz w:val="32"/>
          <w:szCs w:val="32"/>
        </w:rPr>
        <w:t>2022年01月-2022年12月</w:t>
      </w:r>
      <w:r>
        <w:rPr>
          <w:rFonts w:ascii="仿宋" w:hAnsi="仿宋" w:eastAsia="仿宋" w:cs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2023年01月-2023年12月，分值5，得分5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4、成本指标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10)网站运营维护，目标值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小于等于</w:t>
      </w:r>
      <w:r>
        <w:rPr>
          <w:rFonts w:hint="eastAsia" w:ascii="仿宋" w:hAnsi="仿宋" w:eastAsia="仿宋"/>
          <w:sz w:val="32"/>
          <w:szCs w:val="32"/>
        </w:rPr>
        <w:t>2.5</w:t>
      </w:r>
      <w:r>
        <w:rPr>
          <w:rFonts w:ascii="仿宋" w:hAnsi="仿宋" w:eastAsia="仿宋" w:cs="仿宋"/>
          <w:sz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2.5万元，分值1，得分1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11)宣传片制作播放费用，目标值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小于等于</w:t>
      </w: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ascii="仿宋" w:hAnsi="仿宋" w:eastAsia="仿宋" w:cs="仿宋"/>
          <w:sz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6万元，分值2，得分2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12)纸媒栏目开设费用，目标值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小于等于</w:t>
      </w: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 w:cs="仿宋"/>
          <w:sz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4万元，分值1，得分1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13)广播栏目投放费用，目标值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小于等于</w:t>
      </w: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 w:cs="仿宋"/>
          <w:sz w:val="32"/>
        </w:rPr>
        <w:t>万元/年，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3万元/年，分值1，得分1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14)电视节目播放费，目标值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小于等于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 w:cs="仿宋"/>
          <w:sz w:val="32"/>
        </w:rPr>
        <w:t>万元/年，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5万元/年，分值1，得分1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15)其他重点宣传费用，目标值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小于等于</w:t>
      </w:r>
      <w:r>
        <w:rPr>
          <w:rFonts w:hint="eastAsia" w:ascii="仿宋" w:hAnsi="仿宋" w:eastAsia="仿宋"/>
          <w:sz w:val="32"/>
          <w:szCs w:val="32"/>
        </w:rPr>
        <w:t>7.5</w:t>
      </w:r>
      <w:r>
        <w:rPr>
          <w:rFonts w:ascii="仿宋" w:hAnsi="仿宋" w:eastAsia="仿宋" w:cs="仿宋"/>
          <w:sz w:val="32"/>
        </w:rPr>
        <w:t>万元/年，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6.1万元/年，分值2，得分1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16)差旅费，目标值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小于等于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 w:cs="仿宋"/>
          <w:sz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0.81万元，分值1，得分0.5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17)交通费，目标值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小于等于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 w:cs="仿宋"/>
          <w:sz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0.16万元，分值1，得分0.5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(二) 效益指标完成情况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5、经济效益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6、社会效益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18)提高全市公民科学素质，目标值</w:t>
      </w:r>
      <w:r>
        <w:rPr>
          <w:rFonts w:hint="eastAsia" w:ascii="仿宋" w:hAnsi="仿宋" w:eastAsia="仿宋"/>
          <w:sz w:val="32"/>
          <w:szCs w:val="32"/>
        </w:rPr>
        <w:t>有效提高</w:t>
      </w:r>
      <w:r>
        <w:rPr>
          <w:rFonts w:ascii="仿宋" w:hAnsi="仿宋" w:eastAsia="仿宋" w:cs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有效提高，分值15，得分13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7、生态效益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8、可持续影响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19)持续保障科协组织社会影响力，目标值</w:t>
      </w:r>
      <w:r>
        <w:rPr>
          <w:rFonts w:hint="eastAsia" w:ascii="仿宋" w:hAnsi="仿宋" w:eastAsia="仿宋"/>
          <w:sz w:val="32"/>
          <w:szCs w:val="32"/>
        </w:rPr>
        <w:t>长期</w:t>
      </w:r>
      <w:r>
        <w:rPr>
          <w:rFonts w:ascii="仿宋" w:hAnsi="仿宋" w:eastAsia="仿宋" w:cs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有效提升，分值15，得分15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(三) 满意度指标完成情况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9、服务对象满意度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20)群众满意度，目标值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</w:t>
      </w:r>
      <w:r>
        <w:rPr>
          <w:rFonts w:hint="eastAsia" w:ascii="仿宋" w:hAnsi="仿宋" w:eastAsia="仿宋"/>
          <w:sz w:val="32"/>
          <w:szCs w:val="32"/>
        </w:rPr>
        <w:t>85</w:t>
      </w:r>
      <w:r>
        <w:rPr>
          <w:rFonts w:ascii="仿宋" w:hAnsi="仿宋" w:eastAsia="仿宋" w:cs="仿宋"/>
          <w:sz w:val="32"/>
        </w:rPr>
        <w:t>%，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85%，分值5，得分4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21)科技工作者满意度，目标值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</w:t>
      </w:r>
      <w:r>
        <w:rPr>
          <w:rFonts w:hint="eastAsia" w:ascii="仿宋" w:hAnsi="仿宋" w:eastAsia="仿宋"/>
          <w:sz w:val="32"/>
          <w:szCs w:val="32"/>
        </w:rPr>
        <w:t>90</w:t>
      </w:r>
      <w:r>
        <w:rPr>
          <w:rFonts w:ascii="仿宋" w:hAnsi="仿宋" w:eastAsia="仿宋" w:cs="仿宋"/>
          <w:sz w:val="32"/>
        </w:rPr>
        <w:t>%，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90%，分值5，得分4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自评得分情况</w:t>
      </w:r>
    </w:p>
    <w:p>
      <w:pPr>
        <w:spacing w:line="620" w:lineRule="exact"/>
        <w:rPr>
          <w:rFonts w:hint="eastAsia" w:ascii="仿宋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本项目绩效自评得分</w:t>
      </w:r>
      <w:r>
        <w:rPr>
          <w:rFonts w:ascii="仿宋_GB2312" w:hAnsi="仿宋_GB2312" w:eastAsia="仿宋_GB2312" w:cs="仿宋_GB2312"/>
          <w:sz w:val="32"/>
        </w:rPr>
        <w:t>93.19分，等级为A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240" w:lineRule="auto"/>
        <w:ind w:left="0" w:firstLine="0"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存在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问题</w:t>
      </w:r>
    </w:p>
    <w:p>
      <w:pPr>
        <w:numPr>
          <w:ilvl w:val="0"/>
          <w:numId w:val="4"/>
        </w:numPr>
        <w:spacing w:line="240" w:lineRule="auto"/>
        <w:ind w:left="240" w:leftChars="0" w:firstLine="0" w:firstLineChars="0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项目立项、实施存在问题。</w:t>
      </w:r>
    </w:p>
    <w:p>
      <w:pPr>
        <w:numPr>
          <w:ilvl w:val="0"/>
          <w:numId w:val="4"/>
        </w:numPr>
        <w:spacing w:line="240" w:lineRule="auto"/>
        <w:ind w:left="240" w:leftChars="0" w:firstLine="0" w:firstLineChars="0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资金管理使用存在问题</w:t>
      </w:r>
    </w:p>
    <w:p>
      <w:pPr>
        <w:spacing w:line="620" w:lineRule="exact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 w:cs="仿宋"/>
          <w:sz w:val="32"/>
        </w:rPr>
        <w:t>严格按照绩效目标执行，资金专款专用，资金使用不存在问题。</w:t>
      </w:r>
    </w:p>
    <w:p>
      <w:pPr>
        <w:spacing w:line="240" w:lineRule="auto"/>
        <w:ind w:firstLine="0" w:firstLineChars="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五、其他需要说明的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问题</w:t>
      </w:r>
    </w:p>
    <w:p>
      <w:pPr>
        <w:spacing w:before="188" w:line="204" w:lineRule="auto"/>
        <w:ind w:firstLine="57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（一）后续工作计划。</w:t>
      </w: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spacing w:val="1"/>
          <w:sz w:val="30"/>
          <w:szCs w:val="30"/>
        </w:rPr>
        <w:t>充分利用好新兴媒体平台迅速快捷、信息量大、受众面广的优势，大力开展网络宣传，不断强化新媒体平台建设，加强与媒体合作，强化宣传力度。加强对科技工作者典型宣传，大力弘扬科学精神、科学家精神，宣传社会主义核心价值观、民族团结以及科协重点工作等内容，不断夯实宣传阵地。充分发挥融媒体传播优势，开展有分量、有力度、有深度的宣传报道，持续扩大科协的社会影响力。</w:t>
      </w:r>
    </w:p>
    <w:p>
      <w:pPr>
        <w:spacing w:before="189" w:line="204" w:lineRule="auto"/>
        <w:ind w:firstLine="577"/>
        <w:rPr>
          <w:rFonts w:ascii="仿宋" w:hAnsi="仿宋" w:eastAsia="仿宋" w:cs="仿宋"/>
          <w:spacing w:val="-1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（二）措施及办法。</w:t>
      </w:r>
    </w:p>
    <w:p>
      <w:pPr>
        <w:spacing w:line="6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1.加强媒体对科协工作的宣传。加大对科协重点工作宣传、推介力度，协调市属主要媒体做好对市科协各项重点工作宣传。 2.利用好新兴媒体平台开展工作宣传。围绕“聚焦五大人群，推动公民科学素质提升”、弘扬科学家精神等工作重点，展示近年来赤峰科协组织、科普工作者的优秀科普工作成果，倡导全社会参与科学普及事业。</w:t>
      </w:r>
    </w:p>
    <w:p>
      <w:pPr>
        <w:spacing w:line="620" w:lineRule="exact"/>
        <w:ind w:firstLine="880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20" w:lineRule="exact"/>
        <w:ind w:left="590" w:firstLine="643"/>
        <w:rPr>
          <w:rFonts w:ascii="仿宋" w:hAnsi="仿宋" w:eastAsia="仿宋"/>
          <w:b/>
          <w:sz w:val="32"/>
          <w:szCs w:val="32"/>
        </w:rPr>
      </w:pP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</w:p>
  </w:endnote>
  <w:endnote w:type="continuationSeparator" w:id="1">
    <w:p>
      <w:pPr>
        <w:spacing w:line="240" w:lineRule="auto"/>
        <w:ind w:firstLine="4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51DC101-468B-4F52-A871-31707CF9739C}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2" w:fontKey="{798D57AA-C170-4CCA-A8E8-3638087D28D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561857E-A3D1-474E-B37E-EB4E72553B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</w:p>
  </w:footnote>
  <w:footnote w:type="continuationSeparator" w:id="1">
    <w:p>
      <w:pPr>
        <w:spacing w:line="360" w:lineRule="auto"/>
        <w:ind w:firstLine="48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4BB1F1"/>
    <w:multiLevelType w:val="multilevel"/>
    <w:tmpl w:val="994BB1F1"/>
    <w:lvl w:ilvl="0" w:tentative="0">
      <w:start w:val="1"/>
      <w:numFmt w:val="japaneseCounting"/>
      <w:lvlText w:val="%1、"/>
      <w:lvlJc w:val="left"/>
      <w:pPr>
        <w:ind w:left="131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30" w:hanging="420"/>
      </w:pPr>
    </w:lvl>
    <w:lvl w:ilvl="2" w:tentative="0">
      <w:start w:val="1"/>
      <w:numFmt w:val="lowerRoman"/>
      <w:lvlText w:val="%3."/>
      <w:lvlJc w:val="right"/>
      <w:pPr>
        <w:ind w:left="1850" w:hanging="420"/>
      </w:pPr>
    </w:lvl>
    <w:lvl w:ilvl="3" w:tentative="0">
      <w:start w:val="1"/>
      <w:numFmt w:val="decimal"/>
      <w:lvlText w:val="%4."/>
      <w:lvlJc w:val="left"/>
      <w:pPr>
        <w:ind w:left="2270" w:hanging="420"/>
      </w:pPr>
    </w:lvl>
    <w:lvl w:ilvl="4" w:tentative="0">
      <w:start w:val="1"/>
      <w:numFmt w:val="lowerLetter"/>
      <w:lvlText w:val="%5)"/>
      <w:lvlJc w:val="left"/>
      <w:pPr>
        <w:ind w:left="2690" w:hanging="420"/>
      </w:pPr>
    </w:lvl>
    <w:lvl w:ilvl="5" w:tentative="0">
      <w:start w:val="1"/>
      <w:numFmt w:val="lowerRoman"/>
      <w:lvlText w:val="%6."/>
      <w:lvlJc w:val="right"/>
      <w:pPr>
        <w:ind w:left="3110" w:hanging="420"/>
      </w:pPr>
    </w:lvl>
    <w:lvl w:ilvl="6" w:tentative="0">
      <w:start w:val="1"/>
      <w:numFmt w:val="decimal"/>
      <w:lvlText w:val="%7."/>
      <w:lvlJc w:val="left"/>
      <w:pPr>
        <w:ind w:left="3530" w:hanging="420"/>
      </w:pPr>
    </w:lvl>
    <w:lvl w:ilvl="7" w:tentative="0">
      <w:start w:val="1"/>
      <w:numFmt w:val="lowerLetter"/>
      <w:lvlText w:val="%8)"/>
      <w:lvlJc w:val="left"/>
      <w:pPr>
        <w:ind w:left="3950" w:hanging="420"/>
      </w:pPr>
    </w:lvl>
    <w:lvl w:ilvl="8" w:tentative="0">
      <w:start w:val="1"/>
      <w:numFmt w:val="lowerRoman"/>
      <w:lvlText w:val="%9."/>
      <w:lvlJc w:val="right"/>
      <w:pPr>
        <w:ind w:left="4370" w:hanging="420"/>
      </w:pPr>
    </w:lvl>
  </w:abstractNum>
  <w:abstractNum w:abstractNumId="1">
    <w:nsid w:val="ADA24D32"/>
    <w:multiLevelType w:val="singleLevel"/>
    <w:tmpl w:val="ADA24D32"/>
    <w:lvl w:ilvl="0" w:tentative="0">
      <w:start w:val="1"/>
      <w:numFmt w:val="chineseCounting"/>
      <w:suff w:val="nothing"/>
      <w:lvlText w:val="（%1）"/>
      <w:lvlJc w:val="left"/>
      <w:pPr>
        <w:ind w:left="240"/>
      </w:pPr>
      <w:rPr>
        <w:rFonts w:hint="eastAsia"/>
      </w:rPr>
    </w:lvl>
  </w:abstractNum>
  <w:abstractNum w:abstractNumId="2">
    <w:nsid w:val="FBB8592C"/>
    <w:multiLevelType w:val="singleLevel"/>
    <w:tmpl w:val="FBB8592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CF258D6"/>
    <w:multiLevelType w:val="singleLevel"/>
    <w:tmpl w:val="0CF258D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YjhmNzhmOTdiYzI2ZmQxNmNhMGRkNmU0N2UyOTMifQ=="/>
  </w:docVars>
  <w:rsids>
    <w:rsidRoot w:val="2B6F4C9D"/>
    <w:rsid w:val="000A297C"/>
    <w:rsid w:val="004C2775"/>
    <w:rsid w:val="004D77F5"/>
    <w:rsid w:val="00756160"/>
    <w:rsid w:val="00852652"/>
    <w:rsid w:val="00867BA5"/>
    <w:rsid w:val="0096249A"/>
    <w:rsid w:val="00AF50B8"/>
    <w:rsid w:val="00B12946"/>
    <w:rsid w:val="00CA048F"/>
    <w:rsid w:val="00E024D2"/>
    <w:rsid w:val="00E54742"/>
    <w:rsid w:val="01614212"/>
    <w:rsid w:val="026752A9"/>
    <w:rsid w:val="03C2244D"/>
    <w:rsid w:val="049C7DEF"/>
    <w:rsid w:val="04A96372"/>
    <w:rsid w:val="04C2697B"/>
    <w:rsid w:val="05156224"/>
    <w:rsid w:val="069550DB"/>
    <w:rsid w:val="06AB7BA4"/>
    <w:rsid w:val="07CB6A82"/>
    <w:rsid w:val="084D2748"/>
    <w:rsid w:val="0C062F64"/>
    <w:rsid w:val="0F0A7121"/>
    <w:rsid w:val="0F18115A"/>
    <w:rsid w:val="0F4B3357"/>
    <w:rsid w:val="0F6F185A"/>
    <w:rsid w:val="0FDC5FFD"/>
    <w:rsid w:val="136923D4"/>
    <w:rsid w:val="15BB6F18"/>
    <w:rsid w:val="1891657A"/>
    <w:rsid w:val="18ED55F2"/>
    <w:rsid w:val="197864DF"/>
    <w:rsid w:val="19A02C16"/>
    <w:rsid w:val="1A674D68"/>
    <w:rsid w:val="1A821FE7"/>
    <w:rsid w:val="1AC32CC4"/>
    <w:rsid w:val="1B9331E7"/>
    <w:rsid w:val="1E674D08"/>
    <w:rsid w:val="1EAB64DA"/>
    <w:rsid w:val="20347893"/>
    <w:rsid w:val="20752E9C"/>
    <w:rsid w:val="20ED716B"/>
    <w:rsid w:val="21420662"/>
    <w:rsid w:val="2190427C"/>
    <w:rsid w:val="23EF6F51"/>
    <w:rsid w:val="247D0280"/>
    <w:rsid w:val="258855E3"/>
    <w:rsid w:val="25EE7947"/>
    <w:rsid w:val="263403FC"/>
    <w:rsid w:val="273E5672"/>
    <w:rsid w:val="288E0795"/>
    <w:rsid w:val="291D29FD"/>
    <w:rsid w:val="2B223F6D"/>
    <w:rsid w:val="2B6F4C9D"/>
    <w:rsid w:val="2C5E2E59"/>
    <w:rsid w:val="2DE23A3A"/>
    <w:rsid w:val="2E8E1287"/>
    <w:rsid w:val="300E3D77"/>
    <w:rsid w:val="30533016"/>
    <w:rsid w:val="30B80E03"/>
    <w:rsid w:val="33255290"/>
    <w:rsid w:val="33D877D8"/>
    <w:rsid w:val="35AE68A5"/>
    <w:rsid w:val="36CD16A7"/>
    <w:rsid w:val="38E64707"/>
    <w:rsid w:val="3A8859B9"/>
    <w:rsid w:val="3ACFBC2D"/>
    <w:rsid w:val="3DE61665"/>
    <w:rsid w:val="3E1153AE"/>
    <w:rsid w:val="3E516972"/>
    <w:rsid w:val="3EE47779"/>
    <w:rsid w:val="404969DC"/>
    <w:rsid w:val="40B53B29"/>
    <w:rsid w:val="41A437D2"/>
    <w:rsid w:val="43CB6518"/>
    <w:rsid w:val="43D60DED"/>
    <w:rsid w:val="44FE14DD"/>
    <w:rsid w:val="49E56F9C"/>
    <w:rsid w:val="4A926FD7"/>
    <w:rsid w:val="4DD15688"/>
    <w:rsid w:val="4F070E89"/>
    <w:rsid w:val="4F374648"/>
    <w:rsid w:val="4F4451D2"/>
    <w:rsid w:val="50454464"/>
    <w:rsid w:val="51237888"/>
    <w:rsid w:val="51BA42A7"/>
    <w:rsid w:val="520F6E89"/>
    <w:rsid w:val="53203621"/>
    <w:rsid w:val="54DA00D3"/>
    <w:rsid w:val="554E0C20"/>
    <w:rsid w:val="568F07C7"/>
    <w:rsid w:val="57252998"/>
    <w:rsid w:val="59B56326"/>
    <w:rsid w:val="5A0C4685"/>
    <w:rsid w:val="5A553285"/>
    <w:rsid w:val="5AB43B01"/>
    <w:rsid w:val="5D55237F"/>
    <w:rsid w:val="5F12091C"/>
    <w:rsid w:val="5FB20796"/>
    <w:rsid w:val="5FBDFEA1"/>
    <w:rsid w:val="5FC44E2D"/>
    <w:rsid w:val="5FD626AD"/>
    <w:rsid w:val="604010EC"/>
    <w:rsid w:val="610E05D3"/>
    <w:rsid w:val="62215294"/>
    <w:rsid w:val="63D7304E"/>
    <w:rsid w:val="65FC618C"/>
    <w:rsid w:val="660310CC"/>
    <w:rsid w:val="66161B6A"/>
    <w:rsid w:val="66984919"/>
    <w:rsid w:val="66F07E69"/>
    <w:rsid w:val="671B478E"/>
    <w:rsid w:val="676F702D"/>
    <w:rsid w:val="6A582252"/>
    <w:rsid w:val="6AD82D16"/>
    <w:rsid w:val="6B464D38"/>
    <w:rsid w:val="6BDF3DCF"/>
    <w:rsid w:val="6C5075F1"/>
    <w:rsid w:val="6C670BB6"/>
    <w:rsid w:val="6DD40FF8"/>
    <w:rsid w:val="71565F3F"/>
    <w:rsid w:val="72502DE7"/>
    <w:rsid w:val="74114A65"/>
    <w:rsid w:val="74DC7A51"/>
    <w:rsid w:val="753554DD"/>
    <w:rsid w:val="75A24B0F"/>
    <w:rsid w:val="76AB03E2"/>
    <w:rsid w:val="76D1210E"/>
    <w:rsid w:val="77AC22DD"/>
    <w:rsid w:val="77B83789"/>
    <w:rsid w:val="78691D8F"/>
    <w:rsid w:val="78F52A46"/>
    <w:rsid w:val="793C6850"/>
    <w:rsid w:val="7ABC43C8"/>
    <w:rsid w:val="7CA67A3C"/>
    <w:rsid w:val="7DAE3E8B"/>
    <w:rsid w:val="7E77AE1E"/>
    <w:rsid w:val="7FB6D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0"/>
    <w:rPr>
      <w:rFonts w:ascii="宋体" w:hAnsi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2262</Words>
  <Characters>2457</Characters>
  <Lines>16</Lines>
  <Paragraphs>4</Paragraphs>
  <TotalTime>2</TotalTime>
  <ScaleCrop>false</ScaleCrop>
  <LinksUpToDate>false</LinksUpToDate>
  <CharactersWithSpaces>2469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2021-01-19T15:13:00Z</dcterms:created>
  <dc:creator>Administrator</dc:creator>
  <cp:lastModifiedBy>刘欣</cp:lastModifiedBy>
  <dcterms:modified xsi:type="dcterms:W3CDTF">2024-07-26T07:40:21Z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2CF270DEABCC4AC0B2D61ED60F3256AC</vt:lpwstr>
  </property>
</Properties>
</file>